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B0096E" w:rsidP="001B2E81">
      <w:pPr>
        <w:pStyle w:val="NoSpacing"/>
        <w:rPr>
          <w:rFonts w:ascii="Arial" w:hAnsi="Arial" w:cs="Arial"/>
        </w:rPr>
      </w:pPr>
      <w:r>
        <w:rPr>
          <w:rFonts w:ascii="Arial" w:hAnsi="Arial" w:cs="Arial"/>
          <w:b/>
        </w:rPr>
        <w:t>WELCOME TEAM ASSISTANT</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r w:rsidR="00B0096E">
        <w:rPr>
          <w:rFonts w:ascii="Arial" w:hAnsi="Arial" w:cs="Arial"/>
        </w:rPr>
        <w:t xml:space="preserve">  </w:t>
      </w:r>
      <w:r w:rsidR="00B0096E" w:rsidRPr="00B0096E">
        <w:rPr>
          <w:rFonts w:ascii="Arial" w:hAnsi="Arial" w:cs="Arial"/>
          <w:b/>
        </w:rPr>
        <w:t>The closing date for applications is 22</w:t>
      </w:r>
      <w:r w:rsidR="00B0096E" w:rsidRPr="00B0096E">
        <w:rPr>
          <w:rFonts w:ascii="Arial" w:hAnsi="Arial" w:cs="Arial"/>
          <w:b/>
          <w:vertAlign w:val="superscript"/>
        </w:rPr>
        <w:t>nd</w:t>
      </w:r>
      <w:r w:rsidR="00B0096E" w:rsidRPr="00B0096E">
        <w:rPr>
          <w:rFonts w:ascii="Arial" w:hAnsi="Arial" w:cs="Arial"/>
          <w:b/>
        </w:rPr>
        <w:t xml:space="preserve"> September at 12.00 midday.</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B0096E" w:rsidP="001B2E81">
      <w:pPr>
        <w:pStyle w:val="NoSpacing"/>
        <w:rPr>
          <w:rFonts w:ascii="Arial" w:hAnsi="Arial" w:cs="Arial"/>
        </w:rPr>
      </w:pPr>
      <w:r>
        <w:rPr>
          <w:rFonts w:ascii="Arial" w:hAnsi="Arial" w:cs="Arial"/>
        </w:rPr>
        <w:t>We hope to hold interviews on 6</w:t>
      </w:r>
      <w:r w:rsidRPr="00B0096E">
        <w:rPr>
          <w:rFonts w:ascii="Arial" w:hAnsi="Arial" w:cs="Arial"/>
          <w:vertAlign w:val="superscript"/>
        </w:rPr>
        <w:t>th</w:t>
      </w:r>
      <w:r>
        <w:rPr>
          <w:rFonts w:ascii="Arial" w:hAnsi="Arial" w:cs="Arial"/>
        </w:rPr>
        <w:t xml:space="preserve"> October</w:t>
      </w:r>
      <w:r w:rsidR="001B2E81" w:rsidRPr="00EB7942">
        <w:rPr>
          <w:rFonts w:ascii="Arial" w:hAnsi="Arial" w:cs="Arial"/>
        </w:rPr>
        <w:t xml:space="preserve">.  Please confirm </w:t>
      </w:r>
      <w:r w:rsidR="006156F2">
        <w:rPr>
          <w:rFonts w:ascii="Arial" w:hAnsi="Arial" w:cs="Arial"/>
        </w:rPr>
        <w:t>at the end of the</w:t>
      </w:r>
      <w:r w:rsidR="001B2E81"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1B2E81" w:rsidRPr="00EB7942" w:rsidRDefault="006156F2" w:rsidP="001B2E81">
      <w:pPr>
        <w:pStyle w:val="NoSpacing"/>
        <w:rPr>
          <w:rFonts w:ascii="Arial" w:hAnsi="Arial" w:cs="Arial"/>
        </w:rPr>
      </w:pPr>
      <w:r>
        <w:rPr>
          <w:rFonts w:ascii="Arial" w:hAnsi="Arial" w:cs="Arial"/>
        </w:rPr>
        <w:t xml:space="preserve">If you would like more information about the role please email </w:t>
      </w:r>
      <w:hyperlink r:id="rId8" w:history="1">
        <w:r w:rsidRPr="0029514D">
          <w:rPr>
            <w:rStyle w:val="Hyperlink"/>
            <w:rFonts w:ascii="Arial" w:hAnsi="Arial" w:cs="Arial"/>
          </w:rPr>
          <w:t>applications@bristolrefugeerights.org</w:t>
        </w:r>
      </w:hyperlink>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B0096E">
                              <w:rPr>
                                <w:rFonts w:ascii="Calibri" w:hAnsi="Calibri"/>
                                <w:b/>
                                <w:sz w:val="28"/>
                                <w:szCs w:val="28"/>
                              </w:rPr>
                              <w:t>Welcome Team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B0096E">
                        <w:rPr>
                          <w:rFonts w:ascii="Calibri" w:hAnsi="Calibri"/>
                          <w:b/>
                          <w:sz w:val="28"/>
                          <w:szCs w:val="28"/>
                        </w:rPr>
                        <w:t>Welcome Team Assistant</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TRAINING  </w:t>
            </w:r>
            <w:r w:rsidRPr="00A40519">
              <w:rPr>
                <w:rFonts w:asciiTheme="minorHAnsi" w:hAnsiTheme="minorHAnsi" w:cs="Arial"/>
                <w:b/>
                <w:sz w:val="28"/>
                <w:szCs w:val="28"/>
              </w:rPr>
              <w:t xml:space="preserve">RELEVANT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9"/>
          <w:footerReference w:type="default" r:id="rId10"/>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 xml:space="preserve">Please confirm you are available for interview on </w:t>
      </w:r>
      <w:r w:rsidR="00B0096E">
        <w:rPr>
          <w:rFonts w:asciiTheme="minorHAnsi" w:hAnsiTheme="minorHAnsi"/>
          <w:b/>
          <w:color w:val="000000" w:themeColor="text1"/>
          <w:sz w:val="26"/>
          <w:szCs w:val="26"/>
        </w:rPr>
        <w:t>6</w:t>
      </w:r>
      <w:r w:rsidR="00B0096E" w:rsidRPr="00B0096E">
        <w:rPr>
          <w:rFonts w:asciiTheme="minorHAnsi" w:hAnsiTheme="minorHAnsi"/>
          <w:b/>
          <w:color w:val="000000" w:themeColor="text1"/>
          <w:sz w:val="26"/>
          <w:szCs w:val="26"/>
          <w:vertAlign w:val="superscript"/>
        </w:rPr>
        <w:t>th</w:t>
      </w:r>
      <w:r w:rsidR="00B0096E">
        <w:rPr>
          <w:rFonts w:asciiTheme="minorHAnsi" w:hAnsiTheme="minorHAnsi"/>
          <w:b/>
          <w:color w:val="000000" w:themeColor="text1"/>
          <w:sz w:val="26"/>
          <w:szCs w:val="26"/>
        </w:rPr>
        <w:t xml:space="preserve"> October 2021: </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ie.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B0096E" w:rsidRDefault="00182A1E" w:rsidP="00182A1E">
      <w:pPr>
        <w:jc w:val="both"/>
        <w:rPr>
          <w:rFonts w:asciiTheme="minorHAnsi" w:hAnsiTheme="minorHAnsi" w:cs="Arial"/>
          <w:b/>
          <w:sz w:val="26"/>
          <w:szCs w:val="26"/>
        </w:rPr>
      </w:pPr>
      <w:bookmarkStart w:id="0" w:name="_GoBack"/>
      <w:r w:rsidRPr="00B0096E">
        <w:rPr>
          <w:rFonts w:asciiTheme="minorHAnsi" w:hAnsiTheme="minorHAnsi" w:cs="Arial"/>
          <w:b/>
          <w:sz w:val="26"/>
          <w:szCs w:val="26"/>
        </w:rPr>
        <w:t xml:space="preserve">Closing date:       </w:t>
      </w:r>
      <w:r w:rsidRPr="00B0096E">
        <w:rPr>
          <w:rFonts w:asciiTheme="minorHAnsi" w:hAnsiTheme="minorHAnsi" w:cs="Arial"/>
          <w:b/>
          <w:sz w:val="26"/>
          <w:szCs w:val="26"/>
        </w:rPr>
        <w:tab/>
      </w:r>
      <w:r w:rsidR="00B0096E" w:rsidRPr="00B0096E">
        <w:rPr>
          <w:rFonts w:asciiTheme="minorHAnsi" w:hAnsiTheme="minorHAnsi" w:cs="Arial"/>
          <w:b/>
          <w:sz w:val="26"/>
          <w:szCs w:val="26"/>
        </w:rPr>
        <w:t>22</w:t>
      </w:r>
      <w:r w:rsidR="00B0096E" w:rsidRPr="00B0096E">
        <w:rPr>
          <w:rFonts w:asciiTheme="minorHAnsi" w:hAnsiTheme="minorHAnsi" w:cs="Arial"/>
          <w:b/>
          <w:sz w:val="26"/>
          <w:szCs w:val="26"/>
          <w:vertAlign w:val="superscript"/>
        </w:rPr>
        <w:t>nd</w:t>
      </w:r>
      <w:r w:rsidR="00B0096E" w:rsidRPr="00B0096E">
        <w:rPr>
          <w:rFonts w:asciiTheme="minorHAnsi" w:hAnsiTheme="minorHAnsi" w:cs="Arial"/>
          <w:b/>
          <w:sz w:val="26"/>
          <w:szCs w:val="26"/>
        </w:rPr>
        <w:t xml:space="preserve"> September at 12.00 midday</w:t>
      </w:r>
    </w:p>
    <w:bookmarkEnd w:id="0"/>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D03DDA">
              <w:rPr>
                <w:rFonts w:asciiTheme="minorHAnsi" w:hAnsiTheme="minorHAnsi" w:cs="Arial"/>
                <w:sz w:val="20"/>
              </w:rPr>
            </w:r>
            <w:r w:rsidR="00D03DD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DA" w:rsidRDefault="00D03DDA" w:rsidP="00182A1E">
      <w:r>
        <w:separator/>
      </w:r>
    </w:p>
  </w:endnote>
  <w:endnote w:type="continuationSeparator" w:id="0">
    <w:p w:rsidR="00D03DDA" w:rsidRDefault="00D03DDA"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B0096E">
          <w:rPr>
            <w:noProof/>
          </w:rPr>
          <w:t>9</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DA" w:rsidRDefault="00D03DDA" w:rsidP="00182A1E">
      <w:r>
        <w:separator/>
      </w:r>
    </w:p>
  </w:footnote>
  <w:footnote w:type="continuationSeparator" w:id="0">
    <w:p w:rsidR="00D03DDA" w:rsidRDefault="00D03DDA" w:rsidP="00182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6156F2" w:rsidP="00E21D7F">
    <w:pPr>
      <w:pStyle w:val="Header"/>
      <w:tabs>
        <w:tab w:val="right" w:pos="10064"/>
      </w:tabs>
      <w:rPr>
        <w:rFonts w:asciiTheme="minorHAnsi" w:hAnsiTheme="minorHAnsi"/>
      </w:rPr>
    </w:pPr>
    <w:r w:rsidRPr="00A40519">
      <w:rPr>
        <w:rFonts w:asciiTheme="minorHAnsi" w:hAnsiTheme="minorHAnsi" w:cs="Arial"/>
        <w:b/>
        <w:sz w:val="28"/>
      </w:rPr>
      <w:t>[</w:t>
    </w:r>
    <w:r w:rsidRPr="00A40519">
      <w:rPr>
        <w:rFonts w:asciiTheme="minorHAnsi" w:hAnsiTheme="minorHAnsi" w:cs="Arial"/>
        <w:b/>
        <w:sz w:val="28"/>
        <w:highlight w:val="yellow"/>
      </w:rPr>
      <w:t>post title</w:t>
    </w:r>
    <w:r w:rsidRPr="00A40519">
      <w:rPr>
        <w:rFonts w:asciiTheme="minorHAnsi" w:hAnsiTheme="minorHAnsi" w:cs="Arial"/>
        <w:b/>
        <w:sz w:val="28"/>
      </w:rPr>
      <w:t>]</w:t>
    </w:r>
    <w:r w:rsidRPr="00A40519">
      <w:rPr>
        <w:rFonts w:asciiTheme="minorHAnsi" w:hAnsiTheme="min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93FAA"/>
    <w:rsid w:val="001B2E81"/>
    <w:rsid w:val="001C6F0D"/>
    <w:rsid w:val="002031B4"/>
    <w:rsid w:val="002628C8"/>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32289"/>
    <w:rsid w:val="00577073"/>
    <w:rsid w:val="006105E2"/>
    <w:rsid w:val="006156F2"/>
    <w:rsid w:val="00666AF0"/>
    <w:rsid w:val="00693DFD"/>
    <w:rsid w:val="0069566F"/>
    <w:rsid w:val="006F7A7E"/>
    <w:rsid w:val="00780C1B"/>
    <w:rsid w:val="00784F7F"/>
    <w:rsid w:val="007A5EBE"/>
    <w:rsid w:val="007A6427"/>
    <w:rsid w:val="00832CF3"/>
    <w:rsid w:val="00840344"/>
    <w:rsid w:val="008D68EB"/>
    <w:rsid w:val="009422BF"/>
    <w:rsid w:val="009C54E3"/>
    <w:rsid w:val="009E1876"/>
    <w:rsid w:val="00A11E46"/>
    <w:rsid w:val="00A40519"/>
    <w:rsid w:val="00AC11EB"/>
    <w:rsid w:val="00AE08BE"/>
    <w:rsid w:val="00AF5E26"/>
    <w:rsid w:val="00B0096E"/>
    <w:rsid w:val="00B67D76"/>
    <w:rsid w:val="00BF7FCD"/>
    <w:rsid w:val="00C060A1"/>
    <w:rsid w:val="00C25472"/>
    <w:rsid w:val="00C81601"/>
    <w:rsid w:val="00CE7818"/>
    <w:rsid w:val="00D03DDA"/>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B2BA"/>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 Jones</cp:lastModifiedBy>
  <cp:revision>2</cp:revision>
  <cp:lastPrinted>2015-03-26T13:47:00Z</cp:lastPrinted>
  <dcterms:created xsi:type="dcterms:W3CDTF">2021-08-25T11:25:00Z</dcterms:created>
  <dcterms:modified xsi:type="dcterms:W3CDTF">2021-08-25T11:25:00Z</dcterms:modified>
</cp:coreProperties>
</file>